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A60043" w:rsidRPr="00C13541" w:rsidTr="00F92BF8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0043" w:rsidRPr="00C13541" w:rsidRDefault="00A60043" w:rsidP="00F92BF8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06E48467" wp14:editId="07B81E3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043" w:rsidRPr="00C13541" w:rsidTr="00F92BF8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0043" w:rsidRPr="00D3361D" w:rsidRDefault="00A60043" w:rsidP="00F92BF8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A60043" w:rsidRPr="00D3361D" w:rsidRDefault="00A60043" w:rsidP="00F92BF8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A60043" w:rsidRPr="00D3361D" w:rsidRDefault="00A60043" w:rsidP="00F92BF8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A60043" w:rsidRPr="00D3361D" w:rsidRDefault="00A60043" w:rsidP="00F92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A60043" w:rsidRPr="00C13541" w:rsidTr="00F92BF8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0043" w:rsidRPr="00D3361D" w:rsidRDefault="00A60043" w:rsidP="00F92B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A60043" w:rsidRPr="00D3361D" w:rsidRDefault="00A60043" w:rsidP="00F92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A60043" w:rsidRPr="00C13541" w:rsidTr="00F92BF8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0043" w:rsidRPr="00D3361D" w:rsidRDefault="00A60043" w:rsidP="00F92B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A60043" w:rsidRPr="00D3361D" w:rsidRDefault="00A60043" w:rsidP="00F92B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A60043" w:rsidRPr="00D3361D" w:rsidRDefault="00A60043" w:rsidP="00F92B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A60043" w:rsidRPr="00D3361D" w:rsidRDefault="00A60043" w:rsidP="00F92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A60043" w:rsidRPr="00D3361D" w:rsidRDefault="00A60043" w:rsidP="00F92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0043" w:rsidRPr="00C13541" w:rsidTr="00F92BF8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0043" w:rsidRPr="00C13541" w:rsidRDefault="00A60043" w:rsidP="00F92B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A60043" w:rsidRPr="00C13541" w:rsidTr="00F92BF8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0043" w:rsidRPr="00C13541" w:rsidRDefault="00A60043" w:rsidP="00F92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566B83" w:rsidRDefault="00566B83" w:rsidP="009D4E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357B" w:rsidRDefault="00F1357B" w:rsidP="00A60043">
      <w:pPr>
        <w:tabs>
          <w:tab w:val="left" w:pos="720"/>
          <w:tab w:val="left" w:pos="6975"/>
          <w:tab w:val="left" w:pos="7680"/>
        </w:tabs>
        <w:spacing w:after="0" w:line="360" w:lineRule="auto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153D3F" w:rsidRDefault="00B11911" w:rsidP="00153D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производственной</w:t>
      </w:r>
      <w:r w:rsidR="007703DA" w:rsidRPr="007703D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="007703DA" w:rsidRPr="007703DA">
        <w:rPr>
          <w:rFonts w:ascii="Times New Roman" w:hAnsi="Times New Roman"/>
          <w:b/>
          <w:sz w:val="28"/>
          <w:szCs w:val="28"/>
        </w:rPr>
        <w:t xml:space="preserve"> в сфере горячего водоснабжения и установлении тарифов на горячую </w:t>
      </w:r>
      <w:r w:rsidR="004E4E1C">
        <w:rPr>
          <w:rFonts w:ascii="Times New Roman" w:hAnsi="Times New Roman"/>
          <w:b/>
          <w:sz w:val="28"/>
          <w:szCs w:val="28"/>
        </w:rPr>
        <w:t>воду, поставляемую потребителям</w:t>
      </w:r>
      <w:r w:rsidR="004E4E1C" w:rsidRPr="004E4E1C">
        <w:rPr>
          <w:rFonts w:ascii="Times New Roman" w:hAnsi="Times New Roman"/>
          <w:b/>
          <w:sz w:val="28"/>
          <w:szCs w:val="28"/>
        </w:rPr>
        <w:t xml:space="preserve">, подключенным к котельной, расположенной по адресу: Кабардино-Балкарская Республика, г. Прохладный, ул. Свободы, д. 94/1, акционерным обществом «Прохладный </w:t>
      </w:r>
      <w:proofErr w:type="spellStart"/>
      <w:r w:rsidR="004E4E1C" w:rsidRPr="004E4E1C">
        <w:rPr>
          <w:rFonts w:ascii="Times New Roman" w:hAnsi="Times New Roman"/>
          <w:b/>
          <w:sz w:val="28"/>
          <w:szCs w:val="28"/>
        </w:rPr>
        <w:t>теплоэнерго</w:t>
      </w:r>
      <w:proofErr w:type="spellEnd"/>
      <w:r w:rsidR="004E4E1C" w:rsidRPr="004E4E1C">
        <w:rPr>
          <w:rFonts w:ascii="Times New Roman" w:hAnsi="Times New Roman"/>
          <w:b/>
          <w:sz w:val="28"/>
          <w:szCs w:val="28"/>
        </w:rPr>
        <w:t>», на 2025 год</w:t>
      </w:r>
    </w:p>
    <w:p w:rsidR="004774F8" w:rsidRDefault="004774F8" w:rsidP="00A0640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60043" w:rsidRPr="007515CA" w:rsidRDefault="007703DA" w:rsidP="00A739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27 июля 2010 года </w:t>
      </w:r>
      <w:r w:rsidR="009F77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 xml:space="preserve">№ 190-ФЗ «О теплоснабжении», от 7 декабря 2011 года № 416-ФЗ </w:t>
      </w:r>
      <w:r w:rsidR="009F77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водоснабжении и водоотведении», постановлениями Правительства Российской Федерации от 22 октября 2012 года № 1075 «О ценообразовании в сфере теплоснабжения», от 13 мая 2013 года № 406 «О государственном регулировании тарифов в сфере водоснабжения и водоотведения», 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</w:t>
      </w:r>
      <w:r w:rsidR="008A24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>№ 204-ПП</w:t>
      </w:r>
      <w:r w:rsidR="006170C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36BD" w:rsidRPr="00903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4D3">
        <w:rPr>
          <w:rFonts w:ascii="Times New Roman" w:eastAsia="Times New Roman" w:hAnsi="Times New Roman"/>
          <w:sz w:val="28"/>
          <w:szCs w:val="28"/>
          <w:lang w:eastAsia="ru-RU"/>
        </w:rPr>
        <w:t>приказом Государственного комитета</w:t>
      </w:r>
      <w:r w:rsidR="008254D3" w:rsidRPr="007703DA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Кабардино-Балкарской Республики по тарифам и жилищному надзору</w:t>
      </w:r>
      <w:r w:rsidR="00825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E1C">
        <w:rPr>
          <w:rFonts w:ascii="Times New Roman" w:eastAsia="Times New Roman" w:hAnsi="Times New Roman"/>
          <w:sz w:val="28"/>
          <w:szCs w:val="28"/>
          <w:lang w:eastAsia="ru-RU"/>
        </w:rPr>
        <w:t xml:space="preserve">от 19 декабря 2023 года </w:t>
      </w:r>
      <w:r w:rsidR="008A24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E4E1C">
        <w:rPr>
          <w:rFonts w:ascii="Times New Roman" w:eastAsia="Times New Roman" w:hAnsi="Times New Roman"/>
          <w:sz w:val="28"/>
          <w:szCs w:val="28"/>
          <w:lang w:eastAsia="ru-RU"/>
        </w:rPr>
        <w:t>№ 226</w:t>
      </w:r>
      <w:r w:rsidR="008254D3">
        <w:rPr>
          <w:rFonts w:ascii="Times New Roman" w:eastAsia="Times New Roman" w:hAnsi="Times New Roman"/>
          <w:sz w:val="28"/>
          <w:szCs w:val="28"/>
          <w:lang w:eastAsia="ru-RU"/>
        </w:rPr>
        <w:t>/1 «</w:t>
      </w:r>
      <w:r w:rsidR="004E4E1C" w:rsidRPr="004E4E1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тарифов на питьевую воду и водоотведение </w:t>
      </w:r>
      <w:r w:rsidR="008A24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A18F7">
        <w:rPr>
          <w:rFonts w:ascii="Times New Roman" w:eastAsia="Times New Roman" w:hAnsi="Times New Roman"/>
          <w:sz w:val="28"/>
          <w:szCs w:val="28"/>
          <w:lang w:eastAsia="ru-RU"/>
        </w:rPr>
        <w:t>на 2024-</w:t>
      </w:r>
      <w:bookmarkStart w:id="0" w:name="_GoBack"/>
      <w:bookmarkEnd w:id="0"/>
      <w:r w:rsidR="004E4E1C" w:rsidRPr="004E4E1C">
        <w:rPr>
          <w:rFonts w:ascii="Times New Roman" w:eastAsia="Times New Roman" w:hAnsi="Times New Roman"/>
          <w:sz w:val="28"/>
          <w:szCs w:val="28"/>
          <w:lang w:eastAsia="ru-RU"/>
        </w:rPr>
        <w:t xml:space="preserve">2028 годы для организаций, оказывающих услуги на территории </w:t>
      </w:r>
      <w:r w:rsidR="008A249A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4E4E1C" w:rsidRPr="004E4E1C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="004E4E1C" w:rsidRPr="004E4E1C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Прохладный и </w:t>
      </w:r>
      <w:proofErr w:type="spellStart"/>
      <w:r w:rsidR="004E4E1C" w:rsidRPr="004E4E1C">
        <w:rPr>
          <w:rFonts w:ascii="Times New Roman" w:eastAsia="Times New Roman" w:hAnsi="Times New Roman"/>
          <w:sz w:val="28"/>
          <w:szCs w:val="28"/>
          <w:lang w:eastAsia="ru-RU"/>
        </w:rPr>
        <w:t>Прохладненского</w:t>
      </w:r>
      <w:proofErr w:type="spellEnd"/>
      <w:r w:rsidR="004E4E1C" w:rsidRPr="004E4E1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8254D3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8254D3" w:rsidRPr="00797E2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 xml:space="preserve"> </w:t>
      </w:r>
      <w:r w:rsidR="009036BD" w:rsidRPr="00797E2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приказываю</w:t>
      </w:r>
      <w:r w:rsidR="009036BD" w:rsidRPr="009D35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:</w:t>
      </w:r>
    </w:p>
    <w:p w:rsidR="00A60043" w:rsidRDefault="007703DA" w:rsidP="00A7397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производственную программу </w:t>
      </w:r>
      <w:r w:rsidR="004E4E1C">
        <w:rPr>
          <w:rFonts w:ascii="Times New Roman" w:hAnsi="Times New Roman"/>
          <w:sz w:val="28"/>
          <w:szCs w:val="28"/>
        </w:rPr>
        <w:t>акционерного общества</w:t>
      </w:r>
      <w:r w:rsidRPr="007703DA">
        <w:rPr>
          <w:rFonts w:ascii="Times New Roman" w:hAnsi="Times New Roman"/>
          <w:sz w:val="28"/>
          <w:szCs w:val="28"/>
        </w:rPr>
        <w:t xml:space="preserve"> «</w:t>
      </w:r>
      <w:r w:rsidR="004E4E1C" w:rsidRPr="004E4E1C">
        <w:rPr>
          <w:rFonts w:ascii="Times New Roman" w:hAnsi="Times New Roman"/>
          <w:sz w:val="28"/>
          <w:szCs w:val="28"/>
        </w:rPr>
        <w:t xml:space="preserve">Прохладный </w:t>
      </w:r>
      <w:proofErr w:type="spellStart"/>
      <w:r w:rsidR="004E4E1C" w:rsidRPr="004E4E1C">
        <w:rPr>
          <w:rFonts w:ascii="Times New Roman" w:hAnsi="Times New Roman"/>
          <w:sz w:val="28"/>
          <w:szCs w:val="28"/>
        </w:rPr>
        <w:t>теплоэнерго</w:t>
      </w:r>
      <w:proofErr w:type="spellEnd"/>
      <w:r w:rsidRPr="007703DA">
        <w:rPr>
          <w:rFonts w:ascii="Times New Roman" w:hAnsi="Times New Roman"/>
          <w:sz w:val="28"/>
          <w:szCs w:val="28"/>
        </w:rPr>
        <w:t>»</w:t>
      </w: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горячего водоснабжения при </w:t>
      </w: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осуществлении горячего водоснабжения с использованием закрытых систем горячего водоснабжения на 202</w:t>
      </w:r>
      <w:r w:rsidR="004E4E1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согласно приложению № 1 к настоящему приказу.</w:t>
      </w:r>
    </w:p>
    <w:p w:rsidR="00A73971" w:rsidRPr="004E4E1C" w:rsidRDefault="007703DA" w:rsidP="00A7397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3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Установить тариф на горячую воду, поставляемую потребителям</w:t>
      </w:r>
      <w:r w:rsidR="004E4E1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7703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E4E1C" w:rsidRPr="004E4E1C">
        <w:rPr>
          <w:rFonts w:ascii="Times New Roman" w:hAnsi="Times New Roman"/>
          <w:sz w:val="28"/>
          <w:szCs w:val="28"/>
        </w:rPr>
        <w:t xml:space="preserve">подключенным к котельной, расположенной по адресу: </w:t>
      </w:r>
      <w:r w:rsidR="004E4E1C">
        <w:rPr>
          <w:rFonts w:ascii="Times New Roman" w:hAnsi="Times New Roman"/>
          <w:sz w:val="28"/>
          <w:szCs w:val="28"/>
        </w:rPr>
        <w:br/>
      </w:r>
      <w:r w:rsidR="004E4E1C" w:rsidRPr="004E4E1C">
        <w:rPr>
          <w:rFonts w:ascii="Times New Roman" w:hAnsi="Times New Roman"/>
          <w:sz w:val="28"/>
          <w:szCs w:val="28"/>
        </w:rPr>
        <w:t xml:space="preserve">Кабардино-Балкарская Республика, г. Прохладный, ул. Свободы, д. 94/1, акционерным обществом «Прохладный </w:t>
      </w:r>
      <w:proofErr w:type="spellStart"/>
      <w:r w:rsidR="004E4E1C" w:rsidRPr="004E4E1C">
        <w:rPr>
          <w:rFonts w:ascii="Times New Roman" w:hAnsi="Times New Roman"/>
          <w:sz w:val="28"/>
          <w:szCs w:val="28"/>
        </w:rPr>
        <w:t>теплоэнерго</w:t>
      </w:r>
      <w:proofErr w:type="spellEnd"/>
      <w:r w:rsidR="004E4E1C" w:rsidRPr="004E4E1C">
        <w:rPr>
          <w:rFonts w:ascii="Times New Roman" w:hAnsi="Times New Roman"/>
          <w:sz w:val="28"/>
          <w:szCs w:val="28"/>
        </w:rPr>
        <w:t>», на 2025 год</w:t>
      </w:r>
      <w:r w:rsidRPr="004E4E1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согласно приложению № 2 к настоящему приказу.</w:t>
      </w:r>
    </w:p>
    <w:p w:rsidR="00917B8F" w:rsidRPr="004E4E1C" w:rsidRDefault="007703DA" w:rsidP="00A7397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3DA">
        <w:rPr>
          <w:rFonts w:ascii="Times New Roman" w:hAnsi="Times New Roman"/>
          <w:sz w:val="28"/>
          <w:szCs w:val="28"/>
          <w:lang w:eastAsia="ru-RU"/>
        </w:rPr>
        <w:t>Тарифы, установленные пунктом 2 настоящего приказа, действуют с 1</w:t>
      </w:r>
      <w:r w:rsidR="004E4E1C">
        <w:rPr>
          <w:rFonts w:ascii="Times New Roman" w:hAnsi="Times New Roman"/>
          <w:sz w:val="28"/>
          <w:szCs w:val="28"/>
          <w:lang w:eastAsia="ru-RU"/>
        </w:rPr>
        <w:t xml:space="preserve"> августа</w:t>
      </w:r>
      <w:r w:rsidRPr="007703D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E4E1C">
        <w:rPr>
          <w:rFonts w:ascii="Times New Roman" w:hAnsi="Times New Roman"/>
          <w:sz w:val="28"/>
          <w:szCs w:val="28"/>
          <w:lang w:eastAsia="ru-RU"/>
        </w:rPr>
        <w:t>5</w:t>
      </w:r>
      <w:r w:rsidRPr="007703DA">
        <w:rPr>
          <w:rFonts w:ascii="Times New Roman" w:hAnsi="Times New Roman"/>
          <w:sz w:val="28"/>
          <w:szCs w:val="28"/>
          <w:lang w:eastAsia="ru-RU"/>
        </w:rPr>
        <w:t xml:space="preserve"> года по 31 декабря 202</w:t>
      </w:r>
      <w:r w:rsidR="004E4E1C">
        <w:rPr>
          <w:rFonts w:ascii="Times New Roman" w:hAnsi="Times New Roman"/>
          <w:sz w:val="28"/>
          <w:szCs w:val="28"/>
          <w:lang w:eastAsia="ru-RU"/>
        </w:rPr>
        <w:t>5</w:t>
      </w:r>
      <w:r w:rsidRPr="007703DA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4E4E1C" w:rsidRPr="007703DA" w:rsidRDefault="004E4E1C" w:rsidP="00A7397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приказу Государственного комитета Кабардино-Балкарской Республики по тарифам и жилищному надзору </w:t>
      </w:r>
      <w:r w:rsidR="00F70910" w:rsidRPr="00F70910">
        <w:rPr>
          <w:rFonts w:ascii="Times New Roman" w:eastAsia="Times New Roman" w:hAnsi="Times New Roman"/>
          <w:sz w:val="28"/>
          <w:szCs w:val="28"/>
          <w:lang w:eastAsia="ru-RU"/>
        </w:rPr>
        <w:t xml:space="preserve">от 17 </w:t>
      </w:r>
      <w:r w:rsidR="00F70910">
        <w:rPr>
          <w:rFonts w:ascii="Times New Roman" w:eastAsia="Times New Roman" w:hAnsi="Times New Roman"/>
          <w:sz w:val="28"/>
          <w:szCs w:val="28"/>
          <w:lang w:eastAsia="ru-RU"/>
        </w:rPr>
        <w:t>декабря 2020 года</w:t>
      </w:r>
      <w:r w:rsidR="00F70910" w:rsidRPr="00F70910">
        <w:rPr>
          <w:rFonts w:ascii="Times New Roman" w:eastAsia="Times New Roman" w:hAnsi="Times New Roman"/>
          <w:sz w:val="28"/>
          <w:szCs w:val="28"/>
          <w:lang w:eastAsia="ru-RU"/>
        </w:rPr>
        <w:t xml:space="preserve"> № 93</w:t>
      </w: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70910" w:rsidRPr="00B6227F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тарифов на горячую воду, поставляемую потребителям теплоснабжающими организациями Кабардино-Балкарской Республики, на 2021-2025 годы</w:t>
      </w:r>
      <w:r w:rsidRPr="007703DA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22CB4" w:rsidRPr="00A73971" w:rsidRDefault="00B22CB4" w:rsidP="00A7397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CB4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22CB4">
        <w:rPr>
          <w:rFonts w:ascii="Times New Roman" w:eastAsia="Times New Roman" w:hAnsi="Times New Roman"/>
          <w:sz w:val="28"/>
          <w:szCs w:val="28"/>
          <w:lang w:eastAsia="ru-RU"/>
        </w:rPr>
        <w:t xml:space="preserve"> дня его официального опубликования.</w:t>
      </w:r>
    </w:p>
    <w:p w:rsidR="009E4518" w:rsidRDefault="009E4518" w:rsidP="004774F8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043" w:rsidRDefault="00A60043" w:rsidP="004774F8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043" w:rsidRDefault="00A60043" w:rsidP="004774F8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939" w:rsidRDefault="003A79AF" w:rsidP="00797E2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</w:t>
      </w:r>
      <w:r w:rsidR="00A239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EF38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797E26">
        <w:rPr>
          <w:rFonts w:ascii="Times New Roman" w:eastAsia="Times New Roman" w:hAnsi="Times New Roman"/>
          <w:sz w:val="28"/>
          <w:szCs w:val="28"/>
          <w:lang w:eastAsia="ru-RU"/>
        </w:rPr>
        <w:t xml:space="preserve">    А.</w:t>
      </w:r>
      <w:r w:rsidR="00F7091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F38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70910">
        <w:rPr>
          <w:rFonts w:ascii="Times New Roman" w:eastAsia="Times New Roman" w:hAnsi="Times New Roman"/>
          <w:sz w:val="28"/>
          <w:szCs w:val="28"/>
          <w:lang w:eastAsia="ru-RU"/>
        </w:rPr>
        <w:t>Гукепшев</w:t>
      </w:r>
      <w:proofErr w:type="spellEnd"/>
    </w:p>
    <w:p w:rsidR="00B22CB4" w:rsidRPr="00F92BF8" w:rsidRDefault="00120B1C" w:rsidP="00F92BF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tbl>
      <w:tblPr>
        <w:tblW w:w="2709" w:type="dxa"/>
        <w:jc w:val="right"/>
        <w:tblLook w:val="04A0" w:firstRow="1" w:lastRow="0" w:firstColumn="1" w:lastColumn="0" w:noHBand="0" w:noVBand="1"/>
      </w:tblPr>
      <w:tblGrid>
        <w:gridCol w:w="2709"/>
      </w:tblGrid>
      <w:tr w:rsidR="00B22CB4" w:rsidRPr="00B22CB4" w:rsidTr="00B22CB4">
        <w:trPr>
          <w:trHeight w:val="1237"/>
          <w:jc w:val="right"/>
        </w:trPr>
        <w:tc>
          <w:tcPr>
            <w:tcW w:w="2709" w:type="dxa"/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№ 1</w:t>
            </w:r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</w:p>
          <w:p w:rsidR="00B22CB4" w:rsidRPr="00B22CB4" w:rsidRDefault="00B22CB4" w:rsidP="00B22CB4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 приказу Государственного комитета </w:t>
            </w:r>
            <w:r w:rsidR="000944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Кабардино-Балкарской Республики по тарифам и жилищному надзору</w:t>
            </w:r>
          </w:p>
          <w:p w:rsidR="00B22CB4" w:rsidRPr="00B22CB4" w:rsidRDefault="00B22CB4" w:rsidP="00294DED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r w:rsidR="00F70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августа</w:t>
            </w:r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F70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г. №</w:t>
            </w:r>
          </w:p>
        </w:tc>
      </w:tr>
    </w:tbl>
    <w:p w:rsidR="00B22CB4" w:rsidRPr="00B22CB4" w:rsidRDefault="00B22CB4" w:rsidP="00B22C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119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22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B119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акционерного общества</w:t>
      </w:r>
      <w:r w:rsidRPr="00B22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="00F70910" w:rsidRPr="004E4E1C">
        <w:rPr>
          <w:rFonts w:ascii="Times New Roman" w:hAnsi="Times New Roman"/>
          <w:b/>
          <w:sz w:val="28"/>
          <w:szCs w:val="28"/>
        </w:rPr>
        <w:t xml:space="preserve">Прохладный </w:t>
      </w:r>
      <w:proofErr w:type="spellStart"/>
      <w:r w:rsidR="00F70910" w:rsidRPr="004E4E1C">
        <w:rPr>
          <w:rFonts w:ascii="Times New Roman" w:hAnsi="Times New Roman"/>
          <w:b/>
          <w:sz w:val="28"/>
          <w:szCs w:val="28"/>
        </w:rPr>
        <w:t>теплоэнерго</w:t>
      </w:r>
      <w:proofErr w:type="spellEnd"/>
      <w:r w:rsidRPr="00B22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B119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22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сфере горячего водоснабжения при осуществлении горячего водоснабжения с использованием закрытых систем горячего водоснабжения на период</w:t>
      </w:r>
      <w:r w:rsidR="00BB2A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22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1 </w:t>
      </w:r>
      <w:r w:rsidR="00F709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августа 2025</w:t>
      </w:r>
      <w:r w:rsidRPr="00B22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по 31 декабря 202</w:t>
      </w:r>
      <w:r w:rsidR="00F709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B22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</w:p>
    <w:p w:rsidR="00B22CB4" w:rsidRPr="00B22CB4" w:rsidRDefault="00B22CB4" w:rsidP="00B22CB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8804" w:type="dxa"/>
        <w:tblLook w:val="04A0" w:firstRow="1" w:lastRow="0" w:firstColumn="1" w:lastColumn="0" w:noHBand="0" w:noVBand="1"/>
      </w:tblPr>
      <w:tblGrid>
        <w:gridCol w:w="640"/>
        <w:gridCol w:w="3911"/>
        <w:gridCol w:w="3951"/>
        <w:gridCol w:w="302"/>
      </w:tblGrid>
      <w:tr w:rsidR="00B22CB4" w:rsidRPr="00B22CB4" w:rsidTr="00B22CB4">
        <w:trPr>
          <w:gridAfter w:val="1"/>
          <w:wAfter w:w="302" w:type="dxa"/>
          <w:trHeight w:val="660"/>
        </w:trPr>
        <w:tc>
          <w:tcPr>
            <w:tcW w:w="8502" w:type="dxa"/>
            <w:gridSpan w:val="3"/>
            <w:vAlign w:val="center"/>
            <w:hideMark/>
          </w:tcPr>
          <w:p w:rsidR="00B22CB4" w:rsidRPr="00B22CB4" w:rsidRDefault="00B22CB4" w:rsidP="00B22CB4">
            <w:pPr>
              <w:tabs>
                <w:tab w:val="left" w:pos="1597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Паспорт производственной программы.</w:t>
            </w:r>
          </w:p>
        </w:tc>
      </w:tr>
      <w:tr w:rsidR="00B22CB4" w:rsidRPr="00B22CB4" w:rsidTr="00B22CB4">
        <w:trPr>
          <w:trHeight w:val="18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B22CB4">
              <w:rPr>
                <w:rFonts w:ascii="Times New Roman" w:hAnsi="Times New Roman"/>
                <w:bCs/>
                <w:sz w:val="24"/>
                <w:szCs w:val="24"/>
              </w:rPr>
              <w:t>Наименование регулируемой организации, в отношении которой разрабатывается производственная программа, ее местонахождение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11911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Акционерное общество</w:t>
            </w:r>
            <w:r w:rsidR="00F70910" w:rsidRPr="00F70910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«</w:t>
            </w:r>
            <w:r w:rsidR="00F70910" w:rsidRPr="00F7091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Прохладный </w:t>
            </w:r>
            <w:proofErr w:type="spellStart"/>
            <w:r w:rsidR="00F70910" w:rsidRPr="00F7091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теплоэнерго</w:t>
            </w:r>
            <w:proofErr w:type="spellEnd"/>
            <w:r w:rsidR="00F70910" w:rsidRPr="00F70910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»</w:t>
            </w:r>
            <w:r w:rsidR="00B22CB4" w:rsidRPr="00F7091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</w:t>
            </w:r>
            <w:r w:rsidR="00F7091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КБР</w:t>
            </w:r>
            <w:r w:rsidR="00B22CB4" w:rsidRPr="00B22CB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г. </w:t>
            </w:r>
            <w:r w:rsidR="00F7091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Прохладный</w:t>
            </w:r>
            <w:r w:rsidR="00B22CB4" w:rsidRPr="00B22CB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</w:t>
            </w:r>
          </w:p>
          <w:p w:rsidR="00B22CB4" w:rsidRPr="00B22CB4" w:rsidRDefault="00F70910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7091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ул. Степана Разина, д.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7091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  <w:p w:rsidR="00B22CB4" w:rsidRPr="00B22CB4" w:rsidRDefault="00B22CB4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(ОГРН</w:t>
            </w:r>
            <w:r w:rsidR="00F7091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F70910" w:rsidRPr="00F7091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1030700154737</w:t>
            </w:r>
            <w:r w:rsidRPr="00B22CB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</w:t>
            </w:r>
          </w:p>
          <w:p w:rsidR="00B22CB4" w:rsidRPr="00B22CB4" w:rsidRDefault="00B22CB4" w:rsidP="00962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ИНН</w:t>
            </w:r>
            <w:r w:rsidR="00F70910">
              <w:t xml:space="preserve"> </w:t>
            </w:r>
            <w:r w:rsidR="00F70910" w:rsidRPr="00F7091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0716002697</w:t>
            </w:r>
            <w:r w:rsidRPr="00B22CB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B22CB4" w:rsidRPr="00B22CB4" w:rsidTr="00B22CB4">
        <w:trPr>
          <w:trHeight w:val="1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</w:t>
            </w:r>
            <w:r w:rsidRPr="00B22CB4">
              <w:rPr>
                <w:sz w:val="24"/>
                <w:szCs w:val="24"/>
              </w:rPr>
              <w:t xml:space="preserve"> </w:t>
            </w: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комитет </w:t>
            </w: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Кабардино-Балкарской Республики по тарифам и жилищному надзору, </w:t>
            </w: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КБР, г. Нальчик, </w:t>
            </w: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ул. Горького, 4</w:t>
            </w:r>
          </w:p>
        </w:tc>
      </w:tr>
    </w:tbl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CB4" w:rsidRPr="00B22CB4" w:rsidRDefault="00B22CB4" w:rsidP="00B22C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</w:t>
      </w:r>
      <w:r w:rsidRPr="00B22CB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плановых мероприятий по ремонту объектов централизованной системы горячего водоснабжения, мероприятий, направленных на улучшение качества горячей воды, не приводится в связи с тем, что финансовые потребности регулируемой организации на содержание централизованных систем горячего водоснабжения учтены в необходимой валовой выручке при расчете тарифа на тепловую энергию. </w:t>
      </w: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2CB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Мероприятия </w:t>
      </w:r>
      <w:r w:rsidRPr="00B22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Pr="00B22CB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энергосбережению и повышению энергетической эффективности, в том числе снижению потерь воды при транспортировке</w:t>
      </w:r>
      <w:r w:rsidRPr="00B22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планируются.</w:t>
      </w: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22CB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</w:t>
      </w:r>
      <w:r w:rsidRPr="00B22C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22CB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Планируемый объем подачи горячей воды.</w:t>
      </w: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Style w:val="51"/>
        <w:tblW w:w="9322" w:type="dxa"/>
        <w:tblLayout w:type="fixed"/>
        <w:tblLook w:val="04A0" w:firstRow="1" w:lastRow="0" w:firstColumn="1" w:lastColumn="0" w:noHBand="0" w:noVBand="1"/>
      </w:tblPr>
      <w:tblGrid>
        <w:gridCol w:w="561"/>
        <w:gridCol w:w="4225"/>
        <w:gridCol w:w="1418"/>
        <w:gridCol w:w="3118"/>
      </w:tblGrid>
      <w:tr w:rsidR="00B22CB4" w:rsidRPr="00B22CB4" w:rsidTr="009625C7">
        <w:trPr>
          <w:trHeight w:val="70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B4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B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B4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 w:rsidR="00B22CB4" w:rsidRPr="00B22CB4" w:rsidRDefault="00B22CB4" w:rsidP="00B22C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B4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2CB4">
              <w:rPr>
                <w:rFonts w:ascii="Times New Roman" w:hAnsi="Times New Roman"/>
                <w:color w:val="000000"/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9625C7" w:rsidRPr="00B22CB4" w:rsidTr="009625C7">
        <w:trPr>
          <w:trHeight w:val="10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9625C7" w:rsidRDefault="000359B8" w:rsidP="00B22CB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  <w:r w:rsidR="009625C7" w:rsidRPr="009625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625C7" w:rsidRPr="00B22CB4" w:rsidTr="009625C7">
        <w:trPr>
          <w:trHeight w:val="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9625C7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2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9625C7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2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9625C7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2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9625C7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2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625C7" w:rsidRPr="00B22CB4" w:rsidTr="009625C7">
        <w:trPr>
          <w:trHeight w:val="4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выработки горячей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835BC4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7,628</w:t>
            </w:r>
          </w:p>
        </w:tc>
      </w:tr>
      <w:tr w:rsidR="009625C7" w:rsidRPr="00B22CB4" w:rsidTr="009625C7">
        <w:trPr>
          <w:trHeight w:val="5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воды, используемой на собственные нужды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835B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,076</w:t>
            </w:r>
          </w:p>
        </w:tc>
      </w:tr>
      <w:tr w:rsidR="009625C7" w:rsidRPr="00B22CB4" w:rsidTr="009625C7">
        <w:trPr>
          <w:trHeight w:val="3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gramEnd"/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же (в % от объема выработки воды)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085BF9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25C7" w:rsidRPr="00B22CB4" w:rsidTr="009625C7">
        <w:trPr>
          <w:trHeight w:val="5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энергии, затраченной на производство горячей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085BF9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0,458</w:t>
            </w:r>
          </w:p>
        </w:tc>
      </w:tr>
      <w:tr w:rsidR="009625C7" w:rsidRPr="00B22CB4" w:rsidTr="009625C7">
        <w:trPr>
          <w:trHeight w:val="3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отпуска горячей воды в сеть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085BF9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7,552</w:t>
            </w:r>
          </w:p>
        </w:tc>
      </w:tr>
      <w:tr w:rsidR="009625C7" w:rsidRPr="00B22CB4" w:rsidTr="009625C7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потерь горячей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085B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,906</w:t>
            </w:r>
          </w:p>
        </w:tc>
      </w:tr>
      <w:tr w:rsidR="009625C7" w:rsidRPr="00B22CB4" w:rsidTr="009625C7">
        <w:trPr>
          <w:trHeight w:val="5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потерь горячей воды к объему отпущенной горячей воды в сеть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085BF9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625C7" w:rsidRPr="00B22CB4" w:rsidTr="009625C7">
        <w:trPr>
          <w:trHeight w:val="5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горячей воды, в том числе по потребителям: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085BF9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6,646</w:t>
            </w:r>
          </w:p>
        </w:tc>
      </w:tr>
      <w:tr w:rsidR="009625C7" w:rsidRPr="00B22CB4" w:rsidTr="009625C7">
        <w:trPr>
          <w:trHeight w:val="24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населению (по нормативам)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085BF9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6,632</w:t>
            </w:r>
          </w:p>
        </w:tc>
      </w:tr>
      <w:tr w:rsidR="009625C7" w:rsidRPr="00B22CB4" w:rsidTr="009625C7">
        <w:trPr>
          <w:trHeight w:val="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F9" w:rsidRPr="00B22CB4" w:rsidRDefault="00085BF9" w:rsidP="0008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0,398</w:t>
            </w:r>
          </w:p>
        </w:tc>
      </w:tr>
      <w:tr w:rsidR="009625C7" w:rsidRPr="00B22CB4" w:rsidTr="009625C7">
        <w:trPr>
          <w:trHeight w:val="28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085BF9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прочим</w:t>
            </w:r>
            <w:proofErr w:type="gramEnd"/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потребителям (по договорам)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F9" w:rsidRPr="00B22CB4" w:rsidRDefault="00085BF9" w:rsidP="0008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0,014</w:t>
            </w:r>
          </w:p>
        </w:tc>
      </w:tr>
      <w:tr w:rsidR="009625C7" w:rsidRPr="00B22CB4" w:rsidTr="009625C7">
        <w:trPr>
          <w:trHeight w:val="31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9625C7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7" w:rsidRPr="00B22CB4" w:rsidRDefault="00085BF9" w:rsidP="00B22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</w:tr>
    </w:tbl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sz w:val="24"/>
          <w:lang w:eastAsia="ru-RU"/>
        </w:rPr>
      </w:pP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B22CB4">
        <w:rPr>
          <w:rFonts w:ascii="Times New Roman" w:eastAsia="Times New Roman" w:hAnsi="Times New Roman"/>
          <w:bCs/>
          <w:sz w:val="24"/>
          <w:lang w:eastAsia="ru-RU"/>
        </w:rPr>
        <w:t>4. Объем финансовых потребностей, необходимых для реализации производственной программы.</w:t>
      </w:r>
    </w:p>
    <w:p w:rsidR="00835BC4" w:rsidRDefault="00B22CB4" w:rsidP="00B22C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B22CB4">
        <w:rPr>
          <w:rFonts w:ascii="Times New Roman" w:eastAsia="Times New Roman" w:hAnsi="Times New Roman"/>
          <w:bCs/>
          <w:sz w:val="24"/>
          <w:lang w:eastAsia="ru-RU"/>
        </w:rPr>
        <w:t xml:space="preserve">В соответствии с пунктами 91-93 Основ ценообразования в сфере водоснабжения и водоотведения, утвержденных постановлением Правительства РФ от 13 мая 2013 года </w:t>
      </w:r>
      <w:r w:rsidRPr="00B22CB4">
        <w:rPr>
          <w:rFonts w:ascii="Times New Roman" w:eastAsia="Times New Roman" w:hAnsi="Times New Roman"/>
          <w:bCs/>
          <w:sz w:val="24"/>
          <w:lang w:eastAsia="ru-RU"/>
        </w:rPr>
        <w:br/>
        <w:t xml:space="preserve">№ 406 «О государственном регулировании тарифов в сфере водоснабжения и водоотведения», финансовые потребности организации </w:t>
      </w:r>
      <w:r w:rsidRPr="00B22CB4">
        <w:rPr>
          <w:rFonts w:ascii="Times New Roman" w:hAnsi="Times New Roman"/>
          <w:sz w:val="24"/>
        </w:rPr>
        <w:t>определяются органами регулирования тарифов, в случае если регулируемая организация самостоятельно осуществляет забор воды из источника водоснабжения и (или) осуществляет подготовку воды до уровня качества питьевой воды, а тариф на холодную воду для такой организации не установлен, а также в случае если финансовые потребности регулируемой организации не учтены в тарифе на тепловую энергию (мощность).</w:t>
      </w:r>
    </w:p>
    <w:p w:rsidR="00B22CB4" w:rsidRPr="00B22CB4" w:rsidRDefault="00835BC4" w:rsidP="00B22C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eastAsia="ru-RU"/>
        </w:rPr>
      </w:pPr>
      <w:r w:rsidRPr="00524887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Финансовые потребности на забор воды из источников водоснабжения и подготовку воды до уровня качества питьевой воды не учтены, так как </w:t>
      </w:r>
      <w:proofErr w:type="spellStart"/>
      <w:r w:rsidRPr="00524887">
        <w:rPr>
          <w:rFonts w:ascii="Times New Roman" w:eastAsia="Times New Roman" w:hAnsi="Times New Roman"/>
          <w:sz w:val="24"/>
          <w:szCs w:val="24"/>
          <w:lang w:eastAsia="ru-RU"/>
        </w:rPr>
        <w:t>водоснабжающая</w:t>
      </w:r>
      <w:proofErr w:type="spellEnd"/>
      <w:r w:rsidRPr="0052488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производит забор воды, транспортировку, начисление и сбор платежей за холодную воду на нужды горячего водоснабжения потребителей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524887">
        <w:rPr>
          <w:rFonts w:ascii="Times New Roman" w:eastAsia="Times New Roman" w:hAnsi="Times New Roman"/>
          <w:sz w:val="24"/>
          <w:szCs w:val="24"/>
          <w:lang w:eastAsia="ru-RU"/>
        </w:rPr>
        <w:t>г.о</w:t>
      </w:r>
      <w:proofErr w:type="spellEnd"/>
      <w:r w:rsidRPr="00524887">
        <w:rPr>
          <w:rFonts w:ascii="Times New Roman" w:eastAsia="Times New Roman" w:hAnsi="Times New Roman"/>
          <w:sz w:val="24"/>
          <w:szCs w:val="24"/>
          <w:lang w:eastAsia="ru-RU"/>
        </w:rPr>
        <w:t>. Прохладный.</w:t>
      </w:r>
      <w:r w:rsidR="00B22CB4" w:rsidRPr="00B22CB4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-1" w:firstLine="851"/>
        <w:jc w:val="both"/>
        <w:rPr>
          <w:rFonts w:ascii="Times New Roman" w:eastAsia="Times New Roman" w:hAnsi="Times New Roman"/>
          <w:sz w:val="24"/>
          <w:lang w:eastAsia="ru-RU"/>
        </w:rPr>
      </w:pPr>
      <w:r w:rsidRPr="00B22CB4">
        <w:rPr>
          <w:rFonts w:ascii="Times New Roman" w:eastAsia="Times New Roman" w:hAnsi="Times New Roman"/>
          <w:sz w:val="24"/>
          <w:lang w:eastAsia="ru-RU"/>
        </w:rPr>
        <w:t xml:space="preserve">Финансовые потребности </w:t>
      </w:r>
      <w:r w:rsidR="00B11911">
        <w:rPr>
          <w:rFonts w:ascii="Times New Roman" w:eastAsia="Times New Roman" w:hAnsi="Times New Roman"/>
          <w:sz w:val="24"/>
          <w:lang w:eastAsia="ru-RU"/>
        </w:rPr>
        <w:t>акционерного общества</w:t>
      </w:r>
      <w:r w:rsidRPr="00B22CB4">
        <w:rPr>
          <w:rFonts w:ascii="Times New Roman" w:eastAsia="Times New Roman" w:hAnsi="Times New Roman"/>
          <w:sz w:val="24"/>
          <w:lang w:eastAsia="ru-RU"/>
        </w:rPr>
        <w:t xml:space="preserve"> «</w:t>
      </w:r>
      <w:r w:rsidR="00835BC4">
        <w:rPr>
          <w:rFonts w:ascii="Times New Roman" w:eastAsia="Times New Roman" w:hAnsi="Times New Roman"/>
          <w:sz w:val="24"/>
          <w:lang w:eastAsia="ru-RU"/>
        </w:rPr>
        <w:t xml:space="preserve">Прохладный </w:t>
      </w:r>
      <w:proofErr w:type="spellStart"/>
      <w:r w:rsidR="00835BC4">
        <w:rPr>
          <w:rFonts w:ascii="Times New Roman" w:eastAsia="Times New Roman" w:hAnsi="Times New Roman"/>
          <w:sz w:val="24"/>
          <w:lang w:eastAsia="ru-RU"/>
        </w:rPr>
        <w:t>теплоэнерго</w:t>
      </w:r>
      <w:proofErr w:type="spellEnd"/>
      <w:r w:rsidRPr="00B22CB4">
        <w:rPr>
          <w:rFonts w:ascii="Times New Roman" w:eastAsia="Times New Roman" w:hAnsi="Times New Roman"/>
          <w:sz w:val="24"/>
          <w:lang w:eastAsia="ru-RU"/>
        </w:rPr>
        <w:t xml:space="preserve">» на содержание централизованных систем горячего водоснабжения на участке от центральных тепловых пунктов (включительно), на которых осуществляется приготовление горячей воды, до точки на границе эксплуатационной ответственности абонента и регулируемой организации учтены в тарифе на тепловую энергию. </w:t>
      </w:r>
    </w:p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eastAsia="ru-RU"/>
        </w:rPr>
      </w:pPr>
      <w:r w:rsidRPr="00B22CB4">
        <w:rPr>
          <w:rFonts w:ascii="Times New Roman" w:eastAsia="Times New Roman" w:hAnsi="Times New Roman"/>
          <w:sz w:val="24"/>
          <w:lang w:eastAsia="ru-RU"/>
        </w:rPr>
        <w:t>В связи с вышеизложенным объем финансовых потребностей, необходимых для реализации производственной программы, не приводится.</w:t>
      </w:r>
    </w:p>
    <w:p w:rsidR="00B22CB4" w:rsidRPr="00B22CB4" w:rsidRDefault="00B22CB4" w:rsidP="00B22CB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B22CB4">
        <w:rPr>
          <w:rFonts w:ascii="Times New Roman" w:hAnsi="Times New Roman"/>
          <w:sz w:val="24"/>
          <w:szCs w:val="24"/>
        </w:rPr>
        <w:t xml:space="preserve">         5. Плановые значения показателей</w:t>
      </w:r>
      <w:r w:rsidRPr="00B22CB4">
        <w:rPr>
          <w:rFonts w:ascii="Times New Roman" w:hAnsi="Times New Roman"/>
          <w:sz w:val="24"/>
        </w:rPr>
        <w:t xml:space="preserve"> надежности, качества, энергетической эффективности объектов централизованных систем горячего водоснабжения.</w:t>
      </w:r>
    </w:p>
    <w:p w:rsidR="00B22CB4" w:rsidRDefault="00B22CB4" w:rsidP="00B22C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tbl>
      <w:tblPr>
        <w:tblW w:w="93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88"/>
        <w:gridCol w:w="1702"/>
      </w:tblGrid>
      <w:tr w:rsidR="00B22CB4" w:rsidRPr="00B22CB4" w:rsidTr="0035140C">
        <w:trPr>
          <w:trHeight w:val="756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Плановые значения показателей</w:t>
            </w:r>
          </w:p>
        </w:tc>
      </w:tr>
      <w:tr w:rsidR="00B22CB4" w:rsidRPr="00B22CB4" w:rsidTr="0035140C">
        <w:trPr>
          <w:trHeight w:val="981"/>
        </w:trPr>
        <w:tc>
          <w:tcPr>
            <w:tcW w:w="7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1. 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B22CB4" w:rsidRPr="00B22CB4" w:rsidTr="0035140C">
        <w:trPr>
          <w:trHeight w:val="1111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2. 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B22CB4" w:rsidRPr="00B22CB4" w:rsidTr="0035140C">
        <w:trPr>
          <w:trHeight w:val="845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3. Количество перерывов в подаче горячей воды, произошедших в результате аварий, повреждений и иных технологических нарушений на объектах централизованной системы горячего водоснабжения, в расчете на протяженность сети в год, ед./км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B22CB4" w:rsidRPr="00B22CB4" w:rsidTr="0035140C">
        <w:trPr>
          <w:trHeight w:val="476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4. Удельное количество тепловой энергии, расходуемое на подогрев горячей воды, Гкал/м</w:t>
            </w:r>
            <w:r w:rsidRPr="00B22CB4">
              <w:rPr>
                <w:rFonts w:ascii="Times New Roman" w:eastAsia="Times New Roman" w:hAnsi="Times New Roman"/>
                <w:sz w:val="24"/>
                <w:vertAlign w:val="superscript"/>
                <w:lang w:eastAsia="ru-RU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B4" w:rsidRPr="00B22CB4" w:rsidRDefault="00B22CB4" w:rsidP="00B2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sz w:val="24"/>
                <w:lang w:eastAsia="ru-RU"/>
              </w:rPr>
              <w:t>0,06*</w:t>
            </w:r>
          </w:p>
        </w:tc>
      </w:tr>
    </w:tbl>
    <w:p w:rsidR="00B22CB4" w:rsidRPr="00B22CB4" w:rsidRDefault="00B22CB4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22CB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* с 1 июля 2021 года определяется по нормативам расхода тепловой энергии, используемой на подогрев воды в целях предоставления коммунальной услуги по горячему водоснабжению на территории Кабардино-Балкарской Республики, утвержденным приказом Министерства строительства и жилищно-коммунального хозяйства Кабардино-Балкарской Республики от 31 августа 2020 года № 134.</w:t>
      </w:r>
    </w:p>
    <w:p w:rsidR="00B22CB4" w:rsidRPr="00B22CB4" w:rsidRDefault="002A7A29" w:rsidP="00B22C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A7A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6. Отчет об исполнении производственной программы в сфере горячего водоснабжения отсутствует, т.к. предприятие вновь создано.</w:t>
      </w:r>
    </w:p>
    <w:p w:rsidR="003A79AF" w:rsidRDefault="00B22CB4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2A7A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B22CB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7. Мероприятия, направленные на повышение качества обслуживания абонентов, не предусмотрены.</w:t>
      </w: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2709" w:type="dxa"/>
        <w:jc w:val="right"/>
        <w:tblLook w:val="04A0" w:firstRow="1" w:lastRow="0" w:firstColumn="1" w:lastColumn="0" w:noHBand="0" w:noVBand="1"/>
      </w:tblPr>
      <w:tblGrid>
        <w:gridCol w:w="2709"/>
      </w:tblGrid>
      <w:tr w:rsidR="00294DED" w:rsidRPr="00B22CB4" w:rsidTr="00DA7995">
        <w:trPr>
          <w:trHeight w:val="1237"/>
          <w:jc w:val="right"/>
        </w:trPr>
        <w:tc>
          <w:tcPr>
            <w:tcW w:w="2709" w:type="dxa"/>
            <w:vAlign w:val="center"/>
            <w:hideMark/>
          </w:tcPr>
          <w:p w:rsidR="00294DED" w:rsidRPr="00B22CB4" w:rsidRDefault="00294DED" w:rsidP="00DA7995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Приложение № 2</w:t>
            </w:r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</w:p>
          <w:p w:rsidR="00294DED" w:rsidRPr="00B22CB4" w:rsidRDefault="00294DED" w:rsidP="00DA7995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 приказу Государственного комитета </w:t>
            </w:r>
            <w:r w:rsidR="000944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Кабардино-Балкарской Республики по тарифам и жилищному надзору</w:t>
            </w:r>
          </w:p>
          <w:p w:rsidR="00294DED" w:rsidRPr="00B22CB4" w:rsidRDefault="00294DED" w:rsidP="00DA7995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r w:rsidR="00835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августа</w:t>
            </w:r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835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22C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г. №</w:t>
            </w:r>
          </w:p>
        </w:tc>
      </w:tr>
    </w:tbl>
    <w:p w:rsidR="00294DED" w:rsidRDefault="00294DED" w:rsidP="00294DED">
      <w:pPr>
        <w:tabs>
          <w:tab w:val="left" w:pos="7770"/>
        </w:tabs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Style w:val="14"/>
        <w:tblpPr w:leftFromText="180" w:rightFromText="180" w:vertAnchor="text" w:horzAnchor="margin" w:tblpXSpec="right" w:tblpY="-2"/>
        <w:tblW w:w="10495" w:type="dxa"/>
        <w:tblLayout w:type="fixed"/>
        <w:tblLook w:val="04A0" w:firstRow="1" w:lastRow="0" w:firstColumn="1" w:lastColumn="0" w:noHBand="0" w:noVBand="1"/>
      </w:tblPr>
      <w:tblGrid>
        <w:gridCol w:w="936"/>
        <w:gridCol w:w="3567"/>
        <w:gridCol w:w="314"/>
        <w:gridCol w:w="1984"/>
        <w:gridCol w:w="474"/>
        <w:gridCol w:w="488"/>
        <w:gridCol w:w="2732"/>
      </w:tblGrid>
      <w:tr w:rsidR="00294DED" w:rsidRPr="00294DED" w:rsidTr="001541A3">
        <w:tc>
          <w:tcPr>
            <w:tcW w:w="104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243" w:rsidRDefault="00CA7243" w:rsidP="00564B28">
            <w:pPr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  <w:p w:rsidR="00294DED" w:rsidRPr="00294DED" w:rsidRDefault="00294DED" w:rsidP="00835BC4">
            <w:pPr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94DE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Тарифы на </w:t>
            </w: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горячую воду</w:t>
            </w:r>
            <w:r w:rsidRPr="00294DE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, поставляемую потребителям</w:t>
            </w:r>
            <w:r w:rsidR="00835BC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,</w:t>
            </w:r>
            <w:r w:rsidRPr="00294DE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</w:t>
            </w:r>
            <w:r w:rsidR="00AC360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br/>
            </w:r>
            <w:r w:rsidR="00835BC4" w:rsidRPr="00835BC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подключенным к котельной, расположенной по адресу: </w:t>
            </w:r>
            <w:r w:rsidR="00835BC4" w:rsidRPr="00835BC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br/>
              <w:t xml:space="preserve">Кабардино-Балкарская Республика, г. Прохладный, ул. Свободы, д. 94/1, </w:t>
            </w:r>
            <w:r w:rsidR="00835BC4" w:rsidRPr="00835BC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br/>
              <w:t xml:space="preserve">акционерным обществом «Прохладный </w:t>
            </w:r>
            <w:proofErr w:type="spellStart"/>
            <w:r w:rsidR="00835BC4" w:rsidRPr="00835BC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теплоэнерго</w:t>
            </w:r>
            <w:proofErr w:type="spellEnd"/>
            <w:r w:rsidR="00835BC4" w:rsidRPr="00835BC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», на 2025 год</w:t>
            </w:r>
          </w:p>
        </w:tc>
      </w:tr>
      <w:tr w:rsidR="00294DED" w:rsidRPr="00294DED" w:rsidTr="001541A3">
        <w:tc>
          <w:tcPr>
            <w:tcW w:w="936" w:type="dxa"/>
            <w:tcBorders>
              <w:top w:val="nil"/>
              <w:left w:val="nil"/>
              <w:right w:val="nil"/>
            </w:tcBorders>
            <w:vAlign w:val="center"/>
          </w:tcPr>
          <w:p w:rsidR="00294DED" w:rsidRPr="00294DED" w:rsidRDefault="00294DED" w:rsidP="00564B2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right w:val="nil"/>
            </w:tcBorders>
            <w:vAlign w:val="center"/>
          </w:tcPr>
          <w:p w:rsidR="00294DED" w:rsidRPr="00294DED" w:rsidRDefault="00294DED" w:rsidP="00564B2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vAlign w:val="center"/>
          </w:tcPr>
          <w:p w:rsidR="00294DED" w:rsidRPr="00294DED" w:rsidRDefault="00294DED" w:rsidP="00564B2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294DED" w:rsidRPr="00294DED" w:rsidRDefault="00294DED" w:rsidP="00564B2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vAlign w:val="center"/>
          </w:tcPr>
          <w:p w:rsidR="00294DED" w:rsidRPr="00294DED" w:rsidRDefault="00294DED" w:rsidP="00564B2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right w:val="nil"/>
            </w:tcBorders>
          </w:tcPr>
          <w:p w:rsidR="00294DED" w:rsidRPr="00294DED" w:rsidRDefault="00294DED" w:rsidP="00564B2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4B28" w:rsidRPr="00294DED" w:rsidTr="001541A3">
        <w:trPr>
          <w:trHeight w:val="240"/>
        </w:trPr>
        <w:tc>
          <w:tcPr>
            <w:tcW w:w="936" w:type="dxa"/>
            <w:vMerge w:val="restart"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94DED">
              <w:rPr>
                <w:rFonts w:ascii="Times New Roman" w:eastAsia="Times New Roman" w:hAnsi="Times New Roman"/>
                <w:szCs w:val="24"/>
                <w:lang w:eastAsia="ru-RU"/>
              </w:rPr>
              <w:t>№ п/п</w:t>
            </w:r>
          </w:p>
        </w:tc>
        <w:tc>
          <w:tcPr>
            <w:tcW w:w="3567" w:type="dxa"/>
            <w:vMerge w:val="restart"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94DED">
              <w:rPr>
                <w:rFonts w:ascii="Times New Roman" w:eastAsia="Times New Roman" w:hAnsi="Times New Roman"/>
                <w:szCs w:val="24"/>
                <w:lang w:eastAsia="ru-RU"/>
              </w:rPr>
              <w:t>Закрытые системы горячего водоснабжения</w:t>
            </w:r>
          </w:p>
        </w:tc>
        <w:tc>
          <w:tcPr>
            <w:tcW w:w="5992" w:type="dxa"/>
            <w:gridSpan w:val="5"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B28">
              <w:rPr>
                <w:rFonts w:ascii="Times New Roman" w:eastAsia="Times New Roman" w:hAnsi="Times New Roman"/>
                <w:szCs w:val="24"/>
                <w:lang w:eastAsia="ru-RU"/>
              </w:rPr>
              <w:t>Двухкомпонентный тариф на горячую воду</w:t>
            </w:r>
          </w:p>
        </w:tc>
      </w:tr>
      <w:tr w:rsidR="00564B28" w:rsidRPr="00294DED" w:rsidTr="001541A3">
        <w:trPr>
          <w:trHeight w:val="315"/>
        </w:trPr>
        <w:tc>
          <w:tcPr>
            <w:tcW w:w="936" w:type="dxa"/>
            <w:vMerge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567" w:type="dxa"/>
            <w:vMerge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B28">
              <w:rPr>
                <w:rFonts w:ascii="Times New Roman" w:eastAsia="Times New Roman" w:hAnsi="Times New Roman"/>
                <w:szCs w:val="24"/>
                <w:lang w:eastAsia="ru-RU"/>
              </w:rPr>
              <w:t>Компонент на холодную воду (руб. за 1 куб. метр)</w:t>
            </w:r>
          </w:p>
        </w:tc>
        <w:tc>
          <w:tcPr>
            <w:tcW w:w="2732" w:type="dxa"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B28">
              <w:rPr>
                <w:rFonts w:ascii="Times New Roman" w:eastAsia="Times New Roman" w:hAnsi="Times New Roman"/>
                <w:szCs w:val="24"/>
                <w:lang w:eastAsia="ru-RU"/>
              </w:rPr>
              <w:t>Компонент на тепловую энергию (руб. за 1 Гкал)</w:t>
            </w:r>
          </w:p>
        </w:tc>
      </w:tr>
      <w:tr w:rsidR="00564B28" w:rsidRPr="00294DED" w:rsidTr="001541A3">
        <w:trPr>
          <w:trHeight w:val="342"/>
        </w:trPr>
        <w:tc>
          <w:tcPr>
            <w:tcW w:w="10495" w:type="dxa"/>
            <w:gridSpan w:val="7"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564B2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Период действия с 1 </w:t>
            </w:r>
            <w:r w:rsidR="00835BC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августа</w:t>
            </w:r>
            <w:r w:rsidRPr="00564B2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202</w:t>
            </w:r>
            <w:r w:rsidR="00835BC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</w:t>
            </w:r>
            <w:r w:rsidRPr="00564B2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года по 31 декабря 202</w:t>
            </w:r>
            <w:r w:rsidR="00835BC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</w:t>
            </w:r>
            <w:r w:rsidRPr="00564B2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564B28" w:rsidRPr="00294DED" w:rsidTr="001541A3">
        <w:trPr>
          <w:trHeight w:val="354"/>
        </w:trPr>
        <w:tc>
          <w:tcPr>
            <w:tcW w:w="936" w:type="dxa"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94DED">
              <w:rPr>
                <w:rFonts w:ascii="Times New Roman" w:eastAsia="Times New Roman" w:hAnsi="Times New Roman"/>
                <w:szCs w:val="24"/>
                <w:lang w:eastAsia="ru-RU"/>
              </w:rPr>
              <w:t>1.</w:t>
            </w:r>
          </w:p>
        </w:tc>
        <w:tc>
          <w:tcPr>
            <w:tcW w:w="3567" w:type="dxa"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B28">
              <w:rPr>
                <w:rFonts w:ascii="Times New Roman" w:eastAsia="Times New Roman" w:hAnsi="Times New Roman"/>
                <w:szCs w:val="24"/>
                <w:lang w:eastAsia="ru-RU"/>
              </w:rPr>
              <w:t>Потребители, оплачивающие производство и передачу горячей воды (без НДС)</w:t>
            </w:r>
          </w:p>
        </w:tc>
        <w:tc>
          <w:tcPr>
            <w:tcW w:w="3260" w:type="dxa"/>
            <w:gridSpan w:val="4"/>
            <w:vAlign w:val="center"/>
          </w:tcPr>
          <w:p w:rsidR="00564B28" w:rsidRPr="00294DED" w:rsidRDefault="00835BC4" w:rsidP="008A249A">
            <w:pPr>
              <w:ind w:firstLine="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18,81</w:t>
            </w:r>
          </w:p>
        </w:tc>
        <w:tc>
          <w:tcPr>
            <w:tcW w:w="2732" w:type="dxa"/>
            <w:vAlign w:val="center"/>
          </w:tcPr>
          <w:p w:rsidR="00564B28" w:rsidRPr="00294DED" w:rsidRDefault="008A249A" w:rsidP="009F7787">
            <w:pPr>
              <w:ind w:firstLine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249A">
              <w:rPr>
                <w:rFonts w:ascii="Times New Roman" w:eastAsia="Times New Roman" w:hAnsi="Times New Roman"/>
                <w:szCs w:val="24"/>
                <w:lang w:eastAsia="ru-RU"/>
              </w:rPr>
              <w:t>2621,83</w:t>
            </w:r>
          </w:p>
        </w:tc>
      </w:tr>
      <w:tr w:rsidR="00564B28" w:rsidRPr="00294DED" w:rsidTr="001541A3">
        <w:trPr>
          <w:trHeight w:val="454"/>
        </w:trPr>
        <w:tc>
          <w:tcPr>
            <w:tcW w:w="936" w:type="dxa"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94DED">
              <w:rPr>
                <w:rFonts w:ascii="Times New Roman" w:eastAsia="Times New Roman" w:hAnsi="Times New Roman"/>
                <w:szCs w:val="24"/>
                <w:lang w:eastAsia="ru-RU"/>
              </w:rPr>
              <w:t>2.</w:t>
            </w:r>
          </w:p>
        </w:tc>
        <w:tc>
          <w:tcPr>
            <w:tcW w:w="3567" w:type="dxa"/>
            <w:vAlign w:val="center"/>
          </w:tcPr>
          <w:p w:rsidR="00564B28" w:rsidRPr="00294DED" w:rsidRDefault="00564B28" w:rsidP="00564B28">
            <w:pPr>
              <w:ind w:hanging="2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4B28">
              <w:rPr>
                <w:rFonts w:ascii="Times New Roman" w:eastAsia="Times New Roman" w:hAnsi="Times New Roman"/>
                <w:szCs w:val="24"/>
                <w:lang w:eastAsia="ru-RU"/>
              </w:rPr>
              <w:t>Население (с НДС)</w:t>
            </w:r>
          </w:p>
        </w:tc>
        <w:tc>
          <w:tcPr>
            <w:tcW w:w="3260" w:type="dxa"/>
            <w:gridSpan w:val="4"/>
            <w:vAlign w:val="center"/>
          </w:tcPr>
          <w:p w:rsidR="00564B28" w:rsidRPr="00294DED" w:rsidRDefault="00835BC4" w:rsidP="008A249A">
            <w:pPr>
              <w:ind w:firstLine="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19,75</w:t>
            </w:r>
            <w:r w:rsidR="008254D3">
              <w:rPr>
                <w:rFonts w:ascii="Times New Roman" w:eastAsia="Times New Roman" w:hAnsi="Times New Roman"/>
                <w:szCs w:val="24"/>
              </w:rPr>
              <w:t>*</w:t>
            </w:r>
          </w:p>
        </w:tc>
        <w:tc>
          <w:tcPr>
            <w:tcW w:w="2732" w:type="dxa"/>
            <w:vAlign w:val="center"/>
          </w:tcPr>
          <w:p w:rsidR="00564B28" w:rsidRPr="00294DED" w:rsidRDefault="008A249A" w:rsidP="009F7787">
            <w:pPr>
              <w:ind w:firstLine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249A">
              <w:rPr>
                <w:rFonts w:ascii="Times New Roman" w:eastAsia="Times New Roman" w:hAnsi="Times New Roman"/>
                <w:szCs w:val="24"/>
                <w:lang w:eastAsia="ru-RU"/>
              </w:rPr>
              <w:t>3146,20</w:t>
            </w:r>
          </w:p>
        </w:tc>
      </w:tr>
    </w:tbl>
    <w:p w:rsidR="00294DED" w:rsidRPr="001541A3" w:rsidRDefault="001541A3" w:rsidP="001541A3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 учетом НДС 5%</w:t>
      </w: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Default="00294DED" w:rsidP="00B22CB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4DED" w:rsidRPr="00F92BF8" w:rsidRDefault="00294DED" w:rsidP="00B22CB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94DED" w:rsidRPr="00F92BF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B4" w:rsidRDefault="00F52DB4" w:rsidP="007E2E74">
      <w:pPr>
        <w:spacing w:after="0" w:line="240" w:lineRule="auto"/>
      </w:pPr>
      <w:r>
        <w:separator/>
      </w:r>
    </w:p>
  </w:endnote>
  <w:endnote w:type="continuationSeparator" w:id="0">
    <w:p w:rsidR="00F52DB4" w:rsidRDefault="00F52DB4" w:rsidP="007E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B4" w:rsidRDefault="00F52DB4" w:rsidP="007E2E74">
      <w:pPr>
        <w:spacing w:after="0" w:line="240" w:lineRule="auto"/>
      </w:pPr>
      <w:r>
        <w:separator/>
      </w:r>
    </w:p>
  </w:footnote>
  <w:footnote w:type="continuationSeparator" w:id="0">
    <w:p w:rsidR="00F52DB4" w:rsidRDefault="00F52DB4" w:rsidP="007E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5C7" w:rsidRPr="007E2E74" w:rsidRDefault="008A249A" w:rsidP="006E7865">
    <w:pPr>
      <w:pStyle w:val="a8"/>
      <w:jc w:val="right"/>
      <w:rPr>
        <w:rFonts w:ascii="Times New Roman" w:hAnsi="Times New Roman"/>
      </w:rPr>
    </w:pPr>
    <w:r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44BF5"/>
    <w:multiLevelType w:val="hybridMultilevel"/>
    <w:tmpl w:val="E278AF9C"/>
    <w:lvl w:ilvl="0" w:tplc="2DBE61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677F1"/>
    <w:multiLevelType w:val="hybridMultilevel"/>
    <w:tmpl w:val="F62C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7D45DFC"/>
    <w:multiLevelType w:val="hybridMultilevel"/>
    <w:tmpl w:val="11EE52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9271D"/>
    <w:multiLevelType w:val="hybridMultilevel"/>
    <w:tmpl w:val="FFEA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64B65"/>
    <w:multiLevelType w:val="hybridMultilevel"/>
    <w:tmpl w:val="5E183EF6"/>
    <w:lvl w:ilvl="0" w:tplc="CEA40E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CE7F2D"/>
    <w:multiLevelType w:val="hybridMultilevel"/>
    <w:tmpl w:val="F62C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7B"/>
    <w:rsid w:val="00000878"/>
    <w:rsid w:val="000025F3"/>
    <w:rsid w:val="000144FC"/>
    <w:rsid w:val="0002313A"/>
    <w:rsid w:val="000359B8"/>
    <w:rsid w:val="00054991"/>
    <w:rsid w:val="00055A40"/>
    <w:rsid w:val="00061A91"/>
    <w:rsid w:val="00081527"/>
    <w:rsid w:val="00082EB4"/>
    <w:rsid w:val="00085BF9"/>
    <w:rsid w:val="00091B9D"/>
    <w:rsid w:val="00094491"/>
    <w:rsid w:val="000A18F7"/>
    <w:rsid w:val="000A26B7"/>
    <w:rsid w:val="000A3688"/>
    <w:rsid w:val="000B038F"/>
    <w:rsid w:val="000B676A"/>
    <w:rsid w:val="000B6961"/>
    <w:rsid w:val="000B7CDF"/>
    <w:rsid w:val="000C5705"/>
    <w:rsid w:val="000C6EA6"/>
    <w:rsid w:val="000C7585"/>
    <w:rsid w:val="000E0F68"/>
    <w:rsid w:val="000F4479"/>
    <w:rsid w:val="0011042E"/>
    <w:rsid w:val="00120B1C"/>
    <w:rsid w:val="0012640E"/>
    <w:rsid w:val="00132498"/>
    <w:rsid w:val="001346BB"/>
    <w:rsid w:val="00135C88"/>
    <w:rsid w:val="001363E6"/>
    <w:rsid w:val="00153D3F"/>
    <w:rsid w:val="001541A3"/>
    <w:rsid w:val="00166922"/>
    <w:rsid w:val="0017355A"/>
    <w:rsid w:val="00186745"/>
    <w:rsid w:val="00187A35"/>
    <w:rsid w:val="001949F7"/>
    <w:rsid w:val="001A239D"/>
    <w:rsid w:val="001A2550"/>
    <w:rsid w:val="001A5C7B"/>
    <w:rsid w:val="001A66CD"/>
    <w:rsid w:val="001A79E9"/>
    <w:rsid w:val="001B517D"/>
    <w:rsid w:val="001C5F21"/>
    <w:rsid w:val="001E6886"/>
    <w:rsid w:val="001F2512"/>
    <w:rsid w:val="00206BF3"/>
    <w:rsid w:val="00207556"/>
    <w:rsid w:val="002238BD"/>
    <w:rsid w:val="00225114"/>
    <w:rsid w:val="002329EE"/>
    <w:rsid w:val="002360F1"/>
    <w:rsid w:val="002458BE"/>
    <w:rsid w:val="002631D3"/>
    <w:rsid w:val="00266A59"/>
    <w:rsid w:val="00294DED"/>
    <w:rsid w:val="002A7A29"/>
    <w:rsid w:val="002C6A41"/>
    <w:rsid w:val="002D12D6"/>
    <w:rsid w:val="002D3657"/>
    <w:rsid w:val="00320FBB"/>
    <w:rsid w:val="00326DE3"/>
    <w:rsid w:val="00342DA6"/>
    <w:rsid w:val="0035140C"/>
    <w:rsid w:val="00355132"/>
    <w:rsid w:val="00355994"/>
    <w:rsid w:val="00375922"/>
    <w:rsid w:val="00380759"/>
    <w:rsid w:val="0038151D"/>
    <w:rsid w:val="00386FE8"/>
    <w:rsid w:val="00391724"/>
    <w:rsid w:val="00394C2E"/>
    <w:rsid w:val="003950AB"/>
    <w:rsid w:val="00395DF0"/>
    <w:rsid w:val="00396020"/>
    <w:rsid w:val="003A440F"/>
    <w:rsid w:val="003A56B9"/>
    <w:rsid w:val="003A79AF"/>
    <w:rsid w:val="003B320E"/>
    <w:rsid w:val="003C3A63"/>
    <w:rsid w:val="003C68D7"/>
    <w:rsid w:val="003D01DB"/>
    <w:rsid w:val="003F4C7E"/>
    <w:rsid w:val="00400397"/>
    <w:rsid w:val="0040553A"/>
    <w:rsid w:val="00410BD4"/>
    <w:rsid w:val="004130CB"/>
    <w:rsid w:val="0041364F"/>
    <w:rsid w:val="00414323"/>
    <w:rsid w:val="00414594"/>
    <w:rsid w:val="004151BB"/>
    <w:rsid w:val="00424FF2"/>
    <w:rsid w:val="0042657A"/>
    <w:rsid w:val="0043223B"/>
    <w:rsid w:val="00442708"/>
    <w:rsid w:val="00444FD1"/>
    <w:rsid w:val="004463E2"/>
    <w:rsid w:val="004557DA"/>
    <w:rsid w:val="00455C64"/>
    <w:rsid w:val="00461DDB"/>
    <w:rsid w:val="0047040F"/>
    <w:rsid w:val="00475448"/>
    <w:rsid w:val="004774F8"/>
    <w:rsid w:val="004822EC"/>
    <w:rsid w:val="00484CA8"/>
    <w:rsid w:val="0049524A"/>
    <w:rsid w:val="004A1E66"/>
    <w:rsid w:val="004A2362"/>
    <w:rsid w:val="004A3FBB"/>
    <w:rsid w:val="004B102E"/>
    <w:rsid w:val="004B52C4"/>
    <w:rsid w:val="004D5F6D"/>
    <w:rsid w:val="004D6A44"/>
    <w:rsid w:val="004E2BC7"/>
    <w:rsid w:val="004E4E1C"/>
    <w:rsid w:val="004E6129"/>
    <w:rsid w:val="004F0060"/>
    <w:rsid w:val="00507309"/>
    <w:rsid w:val="00524887"/>
    <w:rsid w:val="0053245B"/>
    <w:rsid w:val="00536D04"/>
    <w:rsid w:val="00540208"/>
    <w:rsid w:val="00545837"/>
    <w:rsid w:val="005534EC"/>
    <w:rsid w:val="005645D2"/>
    <w:rsid w:val="00564B28"/>
    <w:rsid w:val="00566B83"/>
    <w:rsid w:val="00572707"/>
    <w:rsid w:val="005801E2"/>
    <w:rsid w:val="005919EB"/>
    <w:rsid w:val="005B218A"/>
    <w:rsid w:val="005B4292"/>
    <w:rsid w:val="005D091C"/>
    <w:rsid w:val="005F3C89"/>
    <w:rsid w:val="006041B3"/>
    <w:rsid w:val="006048EF"/>
    <w:rsid w:val="00612A9E"/>
    <w:rsid w:val="006170CC"/>
    <w:rsid w:val="00644583"/>
    <w:rsid w:val="00647B2C"/>
    <w:rsid w:val="0065053C"/>
    <w:rsid w:val="0065290B"/>
    <w:rsid w:val="00657B8C"/>
    <w:rsid w:val="006771B9"/>
    <w:rsid w:val="006976A7"/>
    <w:rsid w:val="006A67FD"/>
    <w:rsid w:val="006C2988"/>
    <w:rsid w:val="006C7525"/>
    <w:rsid w:val="006C757A"/>
    <w:rsid w:val="006C7B20"/>
    <w:rsid w:val="006D6003"/>
    <w:rsid w:val="006E7865"/>
    <w:rsid w:val="006F1424"/>
    <w:rsid w:val="00732236"/>
    <w:rsid w:val="00732F5F"/>
    <w:rsid w:val="00745653"/>
    <w:rsid w:val="00750B32"/>
    <w:rsid w:val="007515CA"/>
    <w:rsid w:val="00751CDC"/>
    <w:rsid w:val="00763147"/>
    <w:rsid w:val="007703DA"/>
    <w:rsid w:val="00772D3D"/>
    <w:rsid w:val="007745EE"/>
    <w:rsid w:val="00774E28"/>
    <w:rsid w:val="00783493"/>
    <w:rsid w:val="0079536D"/>
    <w:rsid w:val="00797E26"/>
    <w:rsid w:val="007A74DA"/>
    <w:rsid w:val="007B3639"/>
    <w:rsid w:val="007C4185"/>
    <w:rsid w:val="007D0245"/>
    <w:rsid w:val="007D25C6"/>
    <w:rsid w:val="007E2E74"/>
    <w:rsid w:val="008039DE"/>
    <w:rsid w:val="00811029"/>
    <w:rsid w:val="00813AE2"/>
    <w:rsid w:val="0082547F"/>
    <w:rsid w:val="008254D3"/>
    <w:rsid w:val="00835BC4"/>
    <w:rsid w:val="00840494"/>
    <w:rsid w:val="00851E85"/>
    <w:rsid w:val="008603C0"/>
    <w:rsid w:val="008A249A"/>
    <w:rsid w:val="008A7259"/>
    <w:rsid w:val="008F040E"/>
    <w:rsid w:val="008F5C42"/>
    <w:rsid w:val="008F64B2"/>
    <w:rsid w:val="009036BD"/>
    <w:rsid w:val="009122D7"/>
    <w:rsid w:val="009135BC"/>
    <w:rsid w:val="00914D83"/>
    <w:rsid w:val="00917B8F"/>
    <w:rsid w:val="009302EE"/>
    <w:rsid w:val="0093339B"/>
    <w:rsid w:val="009478DD"/>
    <w:rsid w:val="009625C7"/>
    <w:rsid w:val="00962EB0"/>
    <w:rsid w:val="009659FB"/>
    <w:rsid w:val="00973DA6"/>
    <w:rsid w:val="00985C78"/>
    <w:rsid w:val="00987F8A"/>
    <w:rsid w:val="00993894"/>
    <w:rsid w:val="00993A20"/>
    <w:rsid w:val="00994426"/>
    <w:rsid w:val="00997879"/>
    <w:rsid w:val="009B299A"/>
    <w:rsid w:val="009C04FC"/>
    <w:rsid w:val="009D35D7"/>
    <w:rsid w:val="009D3819"/>
    <w:rsid w:val="009D4E3E"/>
    <w:rsid w:val="009D66D4"/>
    <w:rsid w:val="009E350C"/>
    <w:rsid w:val="009E38B8"/>
    <w:rsid w:val="009E4518"/>
    <w:rsid w:val="009F7787"/>
    <w:rsid w:val="00A0018F"/>
    <w:rsid w:val="00A01DA8"/>
    <w:rsid w:val="00A02023"/>
    <w:rsid w:val="00A0640A"/>
    <w:rsid w:val="00A23939"/>
    <w:rsid w:val="00A34AB5"/>
    <w:rsid w:val="00A41B3E"/>
    <w:rsid w:val="00A56C20"/>
    <w:rsid w:val="00A60043"/>
    <w:rsid w:val="00A612F3"/>
    <w:rsid w:val="00A62657"/>
    <w:rsid w:val="00A637B7"/>
    <w:rsid w:val="00A67212"/>
    <w:rsid w:val="00A73971"/>
    <w:rsid w:val="00A74E48"/>
    <w:rsid w:val="00A83232"/>
    <w:rsid w:val="00A91A34"/>
    <w:rsid w:val="00A91B9D"/>
    <w:rsid w:val="00A9467F"/>
    <w:rsid w:val="00AB2DAF"/>
    <w:rsid w:val="00AB3B39"/>
    <w:rsid w:val="00AC02B3"/>
    <w:rsid w:val="00AC3608"/>
    <w:rsid w:val="00AC64A1"/>
    <w:rsid w:val="00AE3280"/>
    <w:rsid w:val="00AE3352"/>
    <w:rsid w:val="00AF39A3"/>
    <w:rsid w:val="00AF668E"/>
    <w:rsid w:val="00B00ED5"/>
    <w:rsid w:val="00B0526D"/>
    <w:rsid w:val="00B113EB"/>
    <w:rsid w:val="00B11911"/>
    <w:rsid w:val="00B15631"/>
    <w:rsid w:val="00B15C9A"/>
    <w:rsid w:val="00B22CB4"/>
    <w:rsid w:val="00B275B7"/>
    <w:rsid w:val="00B40BD3"/>
    <w:rsid w:val="00B424DC"/>
    <w:rsid w:val="00B42F64"/>
    <w:rsid w:val="00B44591"/>
    <w:rsid w:val="00B463E4"/>
    <w:rsid w:val="00B4760F"/>
    <w:rsid w:val="00B67BA7"/>
    <w:rsid w:val="00B72780"/>
    <w:rsid w:val="00B744B6"/>
    <w:rsid w:val="00B74B7B"/>
    <w:rsid w:val="00B767AA"/>
    <w:rsid w:val="00B77BF1"/>
    <w:rsid w:val="00B92C93"/>
    <w:rsid w:val="00B96DCD"/>
    <w:rsid w:val="00BB2A38"/>
    <w:rsid w:val="00BB3A6D"/>
    <w:rsid w:val="00BC18FE"/>
    <w:rsid w:val="00BC5758"/>
    <w:rsid w:val="00BC7092"/>
    <w:rsid w:val="00BD61DB"/>
    <w:rsid w:val="00BD7F4C"/>
    <w:rsid w:val="00BE1C70"/>
    <w:rsid w:val="00BE2DEF"/>
    <w:rsid w:val="00C054E9"/>
    <w:rsid w:val="00C06408"/>
    <w:rsid w:val="00C07647"/>
    <w:rsid w:val="00C10866"/>
    <w:rsid w:val="00C108FB"/>
    <w:rsid w:val="00C1652A"/>
    <w:rsid w:val="00C17F7F"/>
    <w:rsid w:val="00C213CA"/>
    <w:rsid w:val="00C26F92"/>
    <w:rsid w:val="00C33C3F"/>
    <w:rsid w:val="00C3452E"/>
    <w:rsid w:val="00C640E8"/>
    <w:rsid w:val="00C64D69"/>
    <w:rsid w:val="00C740FB"/>
    <w:rsid w:val="00C755CA"/>
    <w:rsid w:val="00C82A2D"/>
    <w:rsid w:val="00C84BEB"/>
    <w:rsid w:val="00C96931"/>
    <w:rsid w:val="00CA279D"/>
    <w:rsid w:val="00CA362C"/>
    <w:rsid w:val="00CA7243"/>
    <w:rsid w:val="00CB408A"/>
    <w:rsid w:val="00CC7029"/>
    <w:rsid w:val="00D04F49"/>
    <w:rsid w:val="00D25940"/>
    <w:rsid w:val="00D46DC2"/>
    <w:rsid w:val="00D52240"/>
    <w:rsid w:val="00D6193B"/>
    <w:rsid w:val="00D73CAE"/>
    <w:rsid w:val="00D86E72"/>
    <w:rsid w:val="00DA1467"/>
    <w:rsid w:val="00DA1EBD"/>
    <w:rsid w:val="00DB4DC3"/>
    <w:rsid w:val="00DE493F"/>
    <w:rsid w:val="00DE528C"/>
    <w:rsid w:val="00DF5716"/>
    <w:rsid w:val="00E04A9A"/>
    <w:rsid w:val="00E1623B"/>
    <w:rsid w:val="00E3232C"/>
    <w:rsid w:val="00E53A42"/>
    <w:rsid w:val="00E61FD4"/>
    <w:rsid w:val="00E644D2"/>
    <w:rsid w:val="00E70752"/>
    <w:rsid w:val="00E97DD0"/>
    <w:rsid w:val="00EB0B0F"/>
    <w:rsid w:val="00EC01B2"/>
    <w:rsid w:val="00EC4058"/>
    <w:rsid w:val="00ED1DBB"/>
    <w:rsid w:val="00EE52A6"/>
    <w:rsid w:val="00EF38C2"/>
    <w:rsid w:val="00F02FE5"/>
    <w:rsid w:val="00F1357B"/>
    <w:rsid w:val="00F13DEB"/>
    <w:rsid w:val="00F2004B"/>
    <w:rsid w:val="00F278C9"/>
    <w:rsid w:val="00F32882"/>
    <w:rsid w:val="00F52DB4"/>
    <w:rsid w:val="00F55708"/>
    <w:rsid w:val="00F640EE"/>
    <w:rsid w:val="00F70910"/>
    <w:rsid w:val="00F87807"/>
    <w:rsid w:val="00F92BF8"/>
    <w:rsid w:val="00FC56BB"/>
    <w:rsid w:val="00FC57E2"/>
    <w:rsid w:val="00FE1C17"/>
    <w:rsid w:val="00FE1F39"/>
    <w:rsid w:val="00FE58B4"/>
    <w:rsid w:val="00FE58B9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121B0-8F1B-483D-A82F-EB88FFC7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table" w:styleId="a5">
    <w:name w:val="Table Grid"/>
    <w:basedOn w:val="a1"/>
    <w:uiPriority w:val="59"/>
    <w:rsid w:val="00120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5B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4A2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320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38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73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A0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4E6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4E6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08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B96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4B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4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FD1"/>
    <w:rPr>
      <w:rFonts w:ascii="Segoe UI" w:eastAsia="Calibri" w:hAnsi="Segoe UI" w:cs="Segoe UI"/>
      <w:sz w:val="18"/>
      <w:szCs w:val="18"/>
    </w:rPr>
  </w:style>
  <w:style w:type="table" w:customStyle="1" w:styleId="12">
    <w:name w:val="Сетка таблицы12"/>
    <w:basedOn w:val="a1"/>
    <w:next w:val="a5"/>
    <w:uiPriority w:val="59"/>
    <w:rsid w:val="00F02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E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2E7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E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2E74"/>
    <w:rPr>
      <w:rFonts w:ascii="Calibri" w:eastAsia="Calibri" w:hAnsi="Calibri" w:cs="Times New Roman"/>
    </w:rPr>
  </w:style>
  <w:style w:type="table" w:customStyle="1" w:styleId="13">
    <w:name w:val="Сетка таблицы13"/>
    <w:basedOn w:val="a1"/>
    <w:uiPriority w:val="59"/>
    <w:rsid w:val="00B22C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B22C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294DE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483E-58E1-474E-B2E2-091D383A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Фатима Кодзокова</cp:lastModifiedBy>
  <cp:revision>6</cp:revision>
  <cp:lastPrinted>2025-07-28T12:05:00Z</cp:lastPrinted>
  <dcterms:created xsi:type="dcterms:W3CDTF">2025-07-26T15:51:00Z</dcterms:created>
  <dcterms:modified xsi:type="dcterms:W3CDTF">2025-07-28T13:27:00Z</dcterms:modified>
</cp:coreProperties>
</file>