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5" w:type="dxa"/>
        <w:jc w:val="center"/>
        <w:tblLook w:val="0000" w:firstRow="0" w:lastRow="0" w:firstColumn="0" w:lastColumn="0" w:noHBand="0" w:noVBand="0"/>
      </w:tblPr>
      <w:tblGrid>
        <w:gridCol w:w="9355"/>
      </w:tblGrid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tabs>
                <w:tab w:val="left" w:pos="45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position w:val="-45"/>
                <w:lang w:eastAsia="ru-RU"/>
              </w:rPr>
              <w:drawing>
                <wp:inline distT="0" distB="0" distL="0" distR="0">
                  <wp:extent cx="619125" cy="7143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base_23856_80896_32770"/>
                          <pic:cNvPicPr>
                            <a:extLst>
                              <a:ext uri="smNativeData">
  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gCBeZ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EAAAAAAAAAAAAAAAAAAAAAAAAAAAAAAAAAAADPAwAAZQQAAAAAAAAAAAAAAAAAACgAAAAIAAAAAQAAAAEAAAA="/>
                              </a:ext>
                            </a:extLst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ГОСУДАРСТВЕННЫЙ КОМИТЕТ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КАБАРДИНО-БАЛКАРСКОЙ РЕСПУБЛИКИ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ПО ТАРИФАМ И ЖИЛИЩНОМУ НАДЗОРУ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 Р И К А З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 Н А Ф Э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КЪАБАРТЫ-МАЛКЪАР РЕСПУБЛИКАНЫ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ТАРИФЛЕНИ ЖАНЫ БЛА ЭМ ЖАШАУ ЖУРТЛАГЪА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НАДЗОР ЭТИУ КЪЫРАЛ КОМИТЕТИ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 У Й Р У К Ъ</w:t>
            </w:r>
          </w:p>
          <w:p w:rsidR="002E6D66" w:rsidRDefault="002E6D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«____» ___________ 20___ г.                                                         №  _______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г. Нальчик</w:t>
            </w:r>
          </w:p>
        </w:tc>
      </w:tr>
    </w:tbl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3377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размера экономически обоснованных расходов</w:t>
      </w:r>
      <w:r>
        <w:rPr>
          <w:rFonts w:ascii="Times New Roman" w:hAnsi="Times New Roman"/>
          <w:b/>
          <w:sz w:val="28"/>
          <w:szCs w:val="28"/>
        </w:rPr>
        <w:br/>
        <w:t>АО «Газпром газораспределение Нальчик» на выполнение мероприятий</w:t>
      </w:r>
    </w:p>
    <w:p w:rsidR="002E6D66" w:rsidRDefault="003377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технологическому присоединению в рамках </w:t>
      </w:r>
      <w:proofErr w:type="spellStart"/>
      <w:r>
        <w:rPr>
          <w:rFonts w:ascii="Times New Roman" w:hAnsi="Times New Roman"/>
          <w:b/>
          <w:sz w:val="28"/>
          <w:szCs w:val="28"/>
        </w:rPr>
        <w:t>догазификации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территории Каба</w:t>
      </w:r>
      <w:r w:rsidR="00A557CD">
        <w:rPr>
          <w:rFonts w:ascii="Times New Roman" w:hAnsi="Times New Roman"/>
          <w:b/>
          <w:sz w:val="28"/>
          <w:szCs w:val="28"/>
        </w:rPr>
        <w:t xml:space="preserve">рдино-Балкарской Республики за </w:t>
      </w:r>
      <w:r w:rsidR="009A483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9A483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E6D66" w:rsidRDefault="002E6D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6D66" w:rsidRDefault="002E6D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D66" w:rsidRDefault="003377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 постановлениями Правительства Российской Федерации от 13 сентября 2021 года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организаций»,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от 29 декабря 2000 года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природного газа до магистрального газопровода», 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>
        <w:rPr>
          <w:rFonts w:ascii="Times New Roman" w:eastAsia="Times New Roman" w:hAnsi="Times New Roman"/>
          <w:b/>
          <w:spacing w:val="20"/>
          <w:sz w:val="28"/>
          <w:szCs w:val="28"/>
        </w:rPr>
        <w:t>приказываю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2E6D66" w:rsidRDefault="003377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Утвердить экономически обоснованные расходы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АО «Газпром газораспределение Нальчик» на выполнение мероприятий по технологическому присоединению в рамках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догазификации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на территории Кабардино-Балкарской Республики за </w:t>
      </w:r>
      <w:r w:rsidR="009A4836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квартал 202</w:t>
      </w:r>
      <w:r w:rsidR="009A4836">
        <w:rPr>
          <w:rFonts w:ascii="Times New Roman" w:eastAsia="Times New Roman" w:hAnsi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 года в размере </w:t>
      </w:r>
      <w:r>
        <w:rPr>
          <w:rFonts w:ascii="Times New Roman" w:eastAsia="Times New Roman" w:hAnsi="Times New Roman"/>
          <w:sz w:val="28"/>
          <w:szCs w:val="28"/>
        </w:rPr>
        <w:br/>
      </w:r>
      <w:r w:rsidR="009A4836" w:rsidRPr="009A4836">
        <w:rPr>
          <w:rFonts w:ascii="Times New Roman" w:eastAsia="Times New Roman" w:hAnsi="Times New Roman"/>
          <w:sz w:val="28"/>
          <w:szCs w:val="28"/>
        </w:rPr>
        <w:t>303 184</w:t>
      </w:r>
      <w:r w:rsidR="009A4836">
        <w:rPr>
          <w:rFonts w:ascii="Times New Roman" w:eastAsia="Times New Roman" w:hAnsi="Times New Roman"/>
          <w:sz w:val="28"/>
          <w:szCs w:val="28"/>
        </w:rPr>
        <w:t> </w:t>
      </w:r>
      <w:r w:rsidR="009A4836" w:rsidRPr="009A4836">
        <w:rPr>
          <w:rFonts w:ascii="Times New Roman" w:eastAsia="Times New Roman" w:hAnsi="Times New Roman"/>
          <w:sz w:val="28"/>
          <w:szCs w:val="28"/>
        </w:rPr>
        <w:t>807</w:t>
      </w:r>
      <w:r w:rsidR="009A4836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6CE3">
        <w:rPr>
          <w:rFonts w:ascii="Times New Roman" w:eastAsia="Times New Roman" w:hAnsi="Times New Roman"/>
          <w:sz w:val="28"/>
          <w:szCs w:val="28"/>
        </w:rPr>
        <w:t>рубл</w:t>
      </w:r>
      <w:r w:rsidR="00587007">
        <w:rPr>
          <w:rFonts w:ascii="Times New Roman" w:eastAsia="Times New Roman" w:hAnsi="Times New Roman"/>
          <w:sz w:val="28"/>
          <w:szCs w:val="28"/>
        </w:rPr>
        <w:t>ей</w:t>
      </w:r>
      <w:r w:rsidRPr="00BF6CE3">
        <w:rPr>
          <w:rFonts w:ascii="Times New Roman" w:eastAsia="Times New Roman" w:hAnsi="Times New Roman"/>
          <w:sz w:val="28"/>
          <w:szCs w:val="28"/>
        </w:rPr>
        <w:t xml:space="preserve"> </w:t>
      </w:r>
      <w:r w:rsidR="009A4836">
        <w:rPr>
          <w:rFonts w:ascii="Times New Roman" w:eastAsia="Times New Roman" w:hAnsi="Times New Roman"/>
          <w:sz w:val="28"/>
          <w:szCs w:val="28"/>
        </w:rPr>
        <w:t>90</w:t>
      </w:r>
      <w:r w:rsidRPr="00BF6CE3">
        <w:rPr>
          <w:rFonts w:ascii="Times New Roman" w:eastAsia="Times New Roman" w:hAnsi="Times New Roman"/>
          <w:sz w:val="28"/>
          <w:szCs w:val="28"/>
        </w:rPr>
        <w:t xml:space="preserve"> копе</w:t>
      </w:r>
      <w:r w:rsidR="00587007">
        <w:rPr>
          <w:rFonts w:ascii="Times New Roman" w:eastAsia="Times New Roman" w:hAnsi="Times New Roman"/>
          <w:sz w:val="28"/>
          <w:szCs w:val="28"/>
        </w:rPr>
        <w:t>е</w:t>
      </w:r>
      <w:r w:rsidR="007531B2">
        <w:rPr>
          <w:rFonts w:ascii="Times New Roman" w:eastAsia="Times New Roman" w:hAnsi="Times New Roman"/>
          <w:sz w:val="28"/>
          <w:szCs w:val="28"/>
        </w:rPr>
        <w:t>к</w:t>
      </w:r>
      <w:r w:rsidRPr="00BF6CE3">
        <w:rPr>
          <w:rFonts w:ascii="Times New Roman" w:eastAsia="Times New Roman" w:hAnsi="Times New Roman"/>
          <w:sz w:val="28"/>
          <w:szCs w:val="28"/>
        </w:rPr>
        <w:t>.</w:t>
      </w:r>
    </w:p>
    <w:p w:rsidR="002E6D66" w:rsidRDefault="003377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Настоящий приказ вступает в силу со дня его официального опубликования.</w:t>
      </w:r>
    </w:p>
    <w:p w:rsidR="002E6D66" w:rsidRDefault="002E6D6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2D5BCF" w:rsidRPr="00454CA9" w:rsidRDefault="002D5BCF" w:rsidP="002D5BCF">
      <w:pPr>
        <w:spacing w:after="0" w:line="240" w:lineRule="auto"/>
        <w:rPr>
          <w:rFonts w:ascii="Times New Roman" w:hAnsi="Times New Roman"/>
          <w:sz w:val="28"/>
          <w:szCs w:val="26"/>
        </w:rPr>
      </w:pPr>
      <w:proofErr w:type="spellStart"/>
      <w:r>
        <w:rPr>
          <w:rFonts w:ascii="Times New Roman" w:hAnsi="Times New Roman"/>
          <w:sz w:val="28"/>
          <w:szCs w:val="26"/>
        </w:rPr>
        <w:t>И</w:t>
      </w:r>
      <w:r w:rsidRPr="00454CA9">
        <w:rPr>
          <w:rFonts w:ascii="Times New Roman" w:hAnsi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/>
          <w:sz w:val="28"/>
          <w:szCs w:val="26"/>
        </w:rPr>
        <w:t>Макуашев</w:t>
      </w:r>
      <w:proofErr w:type="spellEnd"/>
    </w:p>
    <w:p w:rsidR="002E6D66" w:rsidRDefault="002E6D66"/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/>
    <w:sectPr w:rsidR="002E6D66">
      <w:headerReference w:type="default" r:id="rId7"/>
      <w:endnotePr>
        <w:numFmt w:val="decimal"/>
      </w:endnotePr>
      <w:pgSz w:w="11906" w:h="16838"/>
      <w:pgMar w:top="426" w:right="850" w:bottom="1134" w:left="1701" w:header="708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BA8" w:rsidRDefault="00111BA8">
      <w:pPr>
        <w:spacing w:after="0" w:line="240" w:lineRule="auto"/>
      </w:pPr>
      <w:r>
        <w:separator/>
      </w:r>
    </w:p>
  </w:endnote>
  <w:endnote w:type="continuationSeparator" w:id="0">
    <w:p w:rsidR="00111BA8" w:rsidRDefault="00111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BA8" w:rsidRDefault="00111BA8">
      <w:pPr>
        <w:spacing w:after="0" w:line="240" w:lineRule="auto"/>
      </w:pPr>
      <w:r>
        <w:separator/>
      </w:r>
    </w:p>
  </w:footnote>
  <w:footnote w:type="continuationSeparator" w:id="0">
    <w:p w:rsidR="00111BA8" w:rsidRDefault="00111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D66" w:rsidRDefault="00337754">
    <w:pPr>
      <w:pStyle w:val="a4"/>
      <w:jc w:val="right"/>
      <w:rPr>
        <w:b/>
      </w:rPr>
    </w:pPr>
    <w:r>
      <w:rPr>
        <w:b/>
      </w:rPr>
      <w:t>ПРОЕКТ</w:t>
    </w:r>
  </w:p>
  <w:p w:rsidR="002E6D66" w:rsidRDefault="002E6D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66"/>
    <w:rsid w:val="00111BA8"/>
    <w:rsid w:val="002B03F6"/>
    <w:rsid w:val="002D5BCF"/>
    <w:rsid w:val="002E6D66"/>
    <w:rsid w:val="00337754"/>
    <w:rsid w:val="00460979"/>
    <w:rsid w:val="00556031"/>
    <w:rsid w:val="00587007"/>
    <w:rsid w:val="007531B2"/>
    <w:rsid w:val="007A5F75"/>
    <w:rsid w:val="008546AB"/>
    <w:rsid w:val="00936B61"/>
    <w:rsid w:val="009A4836"/>
    <w:rsid w:val="00A43C98"/>
    <w:rsid w:val="00A557CD"/>
    <w:rsid w:val="00AE0339"/>
    <w:rsid w:val="00BB6482"/>
    <w:rsid w:val="00BF6CE3"/>
    <w:rsid w:val="00C449B3"/>
    <w:rsid w:val="00D82A07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24157-6301-47E1-8901-A5FF62F5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</w:style>
  <w:style w:type="character" w:customStyle="1" w:styleId="a8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2</cp:revision>
  <cp:lastPrinted>2024-02-14T09:26:00Z</cp:lastPrinted>
  <dcterms:created xsi:type="dcterms:W3CDTF">2024-05-06T11:20:00Z</dcterms:created>
  <dcterms:modified xsi:type="dcterms:W3CDTF">2024-05-06T11:20:00Z</dcterms:modified>
</cp:coreProperties>
</file>